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46FB6E" w14:textId="77777777"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3B46FB89" wp14:editId="3B46FB8A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46FB6F" w14:textId="22217DE4"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14:paraId="3B46FB70" w14:textId="77777777"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14:paraId="3B46FB71" w14:textId="71F2EB46" w:rsidR="00D66EAE" w:rsidRDefault="00697F54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V Praze, </w:t>
      </w:r>
      <w:r w:rsidR="006A59AB">
        <w:rPr>
          <w:rFonts w:ascii="Arial" w:hAnsi="Arial" w:cs="Arial"/>
          <w:sz w:val="24"/>
        </w:rPr>
        <w:t>13</w:t>
      </w:r>
      <w:r w:rsidR="00BB33CB">
        <w:rPr>
          <w:rFonts w:ascii="Arial" w:hAnsi="Arial" w:cs="Arial"/>
          <w:sz w:val="24"/>
        </w:rPr>
        <w:t>. 2</w:t>
      </w:r>
      <w:r>
        <w:rPr>
          <w:rFonts w:ascii="Arial" w:hAnsi="Arial" w:cs="Arial"/>
          <w:sz w:val="24"/>
        </w:rPr>
        <w:t>. 2019</w:t>
      </w:r>
    </w:p>
    <w:p w14:paraId="3B46FB72" w14:textId="77777777"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14:paraId="3B46FB73" w14:textId="79C89AAF" w:rsidR="00062CF1" w:rsidRDefault="00697F54" w:rsidP="00697F54">
      <w:pPr>
        <w:jc w:val="center"/>
        <w:rPr>
          <w:rFonts w:ascii="Arial" w:hAnsi="Arial" w:cs="Arial"/>
          <w:b/>
          <w:sz w:val="24"/>
        </w:rPr>
      </w:pPr>
      <w:r w:rsidRPr="00697F54">
        <w:rPr>
          <w:rFonts w:ascii="Georgia" w:hAnsi="Georgia"/>
          <w:b/>
          <w:sz w:val="48"/>
        </w:rPr>
        <w:t>MetLife</w:t>
      </w:r>
      <w:r w:rsidR="004A7AD9">
        <w:rPr>
          <w:rFonts w:ascii="Georgia" w:hAnsi="Georgia"/>
          <w:b/>
          <w:sz w:val="48"/>
        </w:rPr>
        <w:t xml:space="preserve"> se </w:t>
      </w:r>
      <w:r w:rsidR="00304490">
        <w:rPr>
          <w:rFonts w:ascii="Georgia" w:hAnsi="Georgia"/>
          <w:b/>
          <w:sz w:val="48"/>
        </w:rPr>
        <w:t xml:space="preserve">hned 2x </w:t>
      </w:r>
      <w:r w:rsidR="004A7AD9">
        <w:rPr>
          <w:rFonts w:ascii="Georgia" w:hAnsi="Georgia"/>
          <w:b/>
          <w:sz w:val="48"/>
        </w:rPr>
        <w:t>umístila</w:t>
      </w:r>
      <w:r w:rsidR="008150B4">
        <w:rPr>
          <w:rFonts w:ascii="Georgia" w:hAnsi="Georgia"/>
          <w:b/>
          <w:sz w:val="48"/>
        </w:rPr>
        <w:t xml:space="preserve"> </w:t>
      </w:r>
      <w:r w:rsidR="004A7AD9">
        <w:rPr>
          <w:rFonts w:ascii="Georgia" w:hAnsi="Georgia"/>
          <w:b/>
          <w:sz w:val="48"/>
        </w:rPr>
        <w:t>v žebříčku Finanční produkt 2019</w:t>
      </w:r>
    </w:p>
    <w:p w14:paraId="3B46FB74" w14:textId="77777777" w:rsidR="00697F54" w:rsidRDefault="00697F54" w:rsidP="00BC49EC">
      <w:pPr>
        <w:jc w:val="both"/>
        <w:rPr>
          <w:rFonts w:ascii="Arial" w:hAnsi="Arial" w:cs="Arial"/>
          <w:b/>
          <w:sz w:val="24"/>
        </w:rPr>
      </w:pPr>
    </w:p>
    <w:p w14:paraId="3B46FB75" w14:textId="37594FD4" w:rsidR="006743ED" w:rsidRPr="00BC743D" w:rsidRDefault="00BB33CB" w:rsidP="00E046E9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r w:rsidR="008150B4">
        <w:rPr>
          <w:rFonts w:ascii="Arial" w:hAnsi="Arial" w:cs="Arial"/>
          <w:b/>
          <w:sz w:val="24"/>
        </w:rPr>
        <w:t>MetLife</w:t>
      </w:r>
      <w:r w:rsidR="00BC743D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se s produktem Garde 5.0 umístila na druhém místě v kategorii Rizikové životní pojištění v anketě Finanční produkt roku 2019. Oproti loňskému roku si tak o jednu příčku polepšila.</w:t>
      </w:r>
      <w:r w:rsidR="00BC743D">
        <w:rPr>
          <w:rFonts w:ascii="Arial" w:hAnsi="Arial" w:cs="Arial"/>
          <w:b/>
          <w:sz w:val="24"/>
        </w:rPr>
        <w:t xml:space="preserve"> </w:t>
      </w:r>
      <w:r w:rsidR="007E31A8">
        <w:rPr>
          <w:rFonts w:ascii="Arial" w:hAnsi="Arial" w:cs="Arial"/>
          <w:b/>
          <w:sz w:val="24"/>
        </w:rPr>
        <w:t xml:space="preserve">Navíc obsadila třetí místo v nově vzniklé kategorii Pojištění schopnosti splácet hypoteční úvěr. </w:t>
      </w:r>
      <w:r w:rsidR="00BC743D">
        <w:rPr>
          <w:rFonts w:ascii="Arial" w:hAnsi="Arial" w:cs="Arial"/>
          <w:b/>
          <w:sz w:val="24"/>
        </w:rPr>
        <w:t xml:space="preserve">Žebříček </w:t>
      </w:r>
      <w:r w:rsidR="00F61756">
        <w:rPr>
          <w:rFonts w:ascii="Arial" w:hAnsi="Arial" w:cs="Arial"/>
          <w:b/>
          <w:sz w:val="24"/>
        </w:rPr>
        <w:t xml:space="preserve">od roku 2011 </w:t>
      </w:r>
      <w:r w:rsidR="00BC743D">
        <w:rPr>
          <w:rFonts w:ascii="Arial" w:hAnsi="Arial" w:cs="Arial"/>
          <w:b/>
          <w:sz w:val="24"/>
        </w:rPr>
        <w:t xml:space="preserve">vyhlašuje portál Finparada.cz ve spolupráci se společností </w:t>
      </w:r>
      <w:proofErr w:type="spellStart"/>
      <w:r w:rsidR="003A7771" w:rsidRPr="003A7771">
        <w:rPr>
          <w:rFonts w:ascii="Arial" w:hAnsi="Arial" w:cs="Arial"/>
          <w:b/>
          <w:sz w:val="24"/>
        </w:rPr>
        <w:t>Scott</w:t>
      </w:r>
      <w:proofErr w:type="spellEnd"/>
      <w:r w:rsidR="003A7771" w:rsidRPr="003A7771">
        <w:rPr>
          <w:rFonts w:ascii="Arial" w:hAnsi="Arial" w:cs="Arial"/>
          <w:b/>
          <w:sz w:val="24"/>
        </w:rPr>
        <w:t xml:space="preserve"> &amp; Rose</w:t>
      </w:r>
      <w:r w:rsidR="003A7771">
        <w:rPr>
          <w:rFonts w:ascii="Arial" w:hAnsi="Arial" w:cs="Arial"/>
          <w:b/>
          <w:sz w:val="24"/>
        </w:rPr>
        <w:t>.</w:t>
      </w:r>
    </w:p>
    <w:p w14:paraId="6F9FC1CE" w14:textId="6911E8C0" w:rsidR="008A444C" w:rsidRDefault="008A444C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„</w:t>
      </w:r>
      <w:r w:rsidR="00BB33CB" w:rsidRPr="009D4CDD">
        <w:rPr>
          <w:rFonts w:ascii="Arial" w:hAnsi="Arial" w:cs="Arial"/>
          <w:i/>
          <w:sz w:val="24"/>
        </w:rPr>
        <w:t>Druhé místo našeho pojištění Garde 5.0</w:t>
      </w:r>
      <w:r w:rsidR="007E31A8">
        <w:rPr>
          <w:rFonts w:ascii="Arial" w:hAnsi="Arial" w:cs="Arial"/>
          <w:i/>
          <w:sz w:val="24"/>
        </w:rPr>
        <w:t xml:space="preserve"> i třetí pro Pojištění schopnosti splácet hypotéku </w:t>
      </w:r>
      <w:proofErr w:type="spellStart"/>
      <w:r w:rsidR="007E31A8">
        <w:rPr>
          <w:rFonts w:ascii="Arial" w:hAnsi="Arial" w:cs="Arial"/>
          <w:i/>
          <w:sz w:val="24"/>
        </w:rPr>
        <w:t>Equa</w:t>
      </w:r>
      <w:proofErr w:type="spellEnd"/>
      <w:r w:rsidR="007E31A8">
        <w:rPr>
          <w:rFonts w:ascii="Arial" w:hAnsi="Arial" w:cs="Arial"/>
          <w:i/>
          <w:sz w:val="24"/>
        </w:rPr>
        <w:t xml:space="preserve"> Bank</w:t>
      </w:r>
      <w:r w:rsidR="00BB33CB" w:rsidRPr="009D4CDD">
        <w:rPr>
          <w:rFonts w:ascii="Arial" w:hAnsi="Arial" w:cs="Arial"/>
          <w:i/>
          <w:sz w:val="24"/>
        </w:rPr>
        <w:t xml:space="preserve"> </w:t>
      </w:r>
      <w:r w:rsidR="007E31A8">
        <w:rPr>
          <w:rFonts w:ascii="Arial" w:hAnsi="Arial" w:cs="Arial"/>
          <w:i/>
          <w:sz w:val="24"/>
        </w:rPr>
        <w:t>jsou</w:t>
      </w:r>
      <w:r w:rsidR="009D4CDD" w:rsidRPr="009D4CDD">
        <w:rPr>
          <w:rFonts w:ascii="Arial" w:hAnsi="Arial" w:cs="Arial"/>
          <w:i/>
          <w:sz w:val="24"/>
        </w:rPr>
        <w:t xml:space="preserve"> pro nás potvrzením kvality, na níž se snažíme dlouhodobě stavět. Jsme vděční </w:t>
      </w:r>
      <w:proofErr w:type="spellStart"/>
      <w:r w:rsidR="009D4CDD" w:rsidRPr="009D4CDD">
        <w:rPr>
          <w:rFonts w:ascii="Arial" w:hAnsi="Arial" w:cs="Arial"/>
          <w:i/>
          <w:sz w:val="24"/>
        </w:rPr>
        <w:t>Finparádě</w:t>
      </w:r>
      <w:proofErr w:type="spellEnd"/>
      <w:r w:rsidR="009D4CDD" w:rsidRPr="009D4CDD">
        <w:rPr>
          <w:rFonts w:ascii="Arial" w:hAnsi="Arial" w:cs="Arial"/>
          <w:i/>
          <w:sz w:val="24"/>
        </w:rPr>
        <w:t xml:space="preserve"> i společnosti </w:t>
      </w:r>
      <w:proofErr w:type="spellStart"/>
      <w:r w:rsidR="009D4CDD" w:rsidRPr="009D4CDD">
        <w:rPr>
          <w:rFonts w:ascii="Arial" w:hAnsi="Arial" w:cs="Arial"/>
          <w:i/>
          <w:sz w:val="24"/>
        </w:rPr>
        <w:t>Scott</w:t>
      </w:r>
      <w:proofErr w:type="spellEnd"/>
      <w:r w:rsidR="009D4CDD" w:rsidRPr="009D4CDD">
        <w:rPr>
          <w:rFonts w:ascii="Arial" w:hAnsi="Arial" w:cs="Arial"/>
          <w:i/>
          <w:sz w:val="24"/>
        </w:rPr>
        <w:t xml:space="preserve"> &amp; Rose </w:t>
      </w:r>
      <w:r w:rsidR="00021F9F">
        <w:rPr>
          <w:rFonts w:ascii="Arial" w:hAnsi="Arial" w:cs="Arial"/>
          <w:i/>
          <w:sz w:val="24"/>
        </w:rPr>
        <w:t>za toto mimořádné ocenění našich produktů</w:t>
      </w:r>
      <w:r w:rsidR="009D4CDD" w:rsidRPr="009D4CDD">
        <w:rPr>
          <w:rFonts w:ascii="Arial" w:hAnsi="Arial" w:cs="Arial"/>
          <w:i/>
          <w:sz w:val="24"/>
        </w:rPr>
        <w:t xml:space="preserve"> i práce. Zároveň velmi děkujeme všem svým klientům, kteří v nás vkládají důvěru a pro něž naše produkty neustále vylepšujeme, aby co nejlépe odpovídaly jejich požadavkům</w:t>
      </w:r>
      <w:r w:rsidR="009D4CDD">
        <w:rPr>
          <w:rFonts w:ascii="Arial" w:hAnsi="Arial" w:cs="Arial"/>
          <w:sz w:val="24"/>
        </w:rPr>
        <w:t xml:space="preserve">,“ vyjádřil se k ocenění </w:t>
      </w:r>
      <w:r w:rsidR="006339BA">
        <w:rPr>
          <w:rFonts w:ascii="Arial" w:hAnsi="Arial" w:cs="Arial"/>
          <w:sz w:val="24"/>
        </w:rPr>
        <w:t xml:space="preserve">František Špulák, </w:t>
      </w:r>
      <w:r w:rsidR="006339BA" w:rsidRPr="006339BA">
        <w:rPr>
          <w:rFonts w:ascii="Arial" w:hAnsi="Arial" w:cs="Arial"/>
          <w:sz w:val="24"/>
        </w:rPr>
        <w:t xml:space="preserve">Marketing and </w:t>
      </w:r>
      <w:proofErr w:type="spellStart"/>
      <w:r w:rsidR="006339BA" w:rsidRPr="006339BA">
        <w:rPr>
          <w:rFonts w:ascii="Arial" w:hAnsi="Arial" w:cs="Arial"/>
          <w:sz w:val="24"/>
        </w:rPr>
        <w:t>Communication</w:t>
      </w:r>
      <w:proofErr w:type="spellEnd"/>
      <w:r w:rsidR="006339BA" w:rsidRPr="006339BA">
        <w:rPr>
          <w:rFonts w:ascii="Arial" w:hAnsi="Arial" w:cs="Arial"/>
          <w:sz w:val="24"/>
        </w:rPr>
        <w:t xml:space="preserve"> </w:t>
      </w:r>
      <w:proofErr w:type="spellStart"/>
      <w:r w:rsidR="006339BA" w:rsidRPr="006339BA">
        <w:rPr>
          <w:rFonts w:ascii="Arial" w:hAnsi="Arial" w:cs="Arial"/>
          <w:sz w:val="24"/>
        </w:rPr>
        <w:t>Executive</w:t>
      </w:r>
      <w:proofErr w:type="spellEnd"/>
      <w:r w:rsidR="006339BA">
        <w:rPr>
          <w:rFonts w:ascii="Arial" w:hAnsi="Arial" w:cs="Arial"/>
          <w:sz w:val="24"/>
        </w:rPr>
        <w:t xml:space="preserve"> </w:t>
      </w:r>
      <w:proofErr w:type="spellStart"/>
      <w:r w:rsidR="006339BA">
        <w:rPr>
          <w:rFonts w:ascii="Arial" w:hAnsi="Arial" w:cs="Arial"/>
          <w:sz w:val="24"/>
        </w:rPr>
        <w:t>MetLife</w:t>
      </w:r>
      <w:proofErr w:type="spellEnd"/>
      <w:r w:rsidR="006339BA">
        <w:rPr>
          <w:rFonts w:ascii="Arial" w:hAnsi="Arial" w:cs="Arial"/>
          <w:sz w:val="24"/>
        </w:rPr>
        <w:t>.</w:t>
      </w:r>
    </w:p>
    <w:p w14:paraId="1A8C4FD1" w14:textId="6CAE2E3B" w:rsidR="008E2202" w:rsidRDefault="00780695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Životní pojištění </w:t>
      </w:r>
      <w:r w:rsidR="00FE34DD">
        <w:rPr>
          <w:rFonts w:ascii="Arial" w:hAnsi="Arial" w:cs="Arial"/>
          <w:sz w:val="24"/>
        </w:rPr>
        <w:t xml:space="preserve">Garde 5.0 </w:t>
      </w:r>
      <w:r w:rsidR="00BB33CB">
        <w:rPr>
          <w:rFonts w:ascii="Arial" w:hAnsi="Arial" w:cs="Arial"/>
          <w:sz w:val="24"/>
        </w:rPr>
        <w:t>je možné sjednat v rizikové i investiční variantě a přináší řadu výhod. Klienti jsou např</w:t>
      </w:r>
      <w:r w:rsidR="007E31A8">
        <w:rPr>
          <w:rFonts w:ascii="Arial" w:hAnsi="Arial" w:cs="Arial"/>
          <w:sz w:val="24"/>
        </w:rPr>
        <w:t>íklad odměňován</w:t>
      </w:r>
      <w:r w:rsidR="00304490">
        <w:rPr>
          <w:rFonts w:ascii="Arial" w:hAnsi="Arial" w:cs="Arial"/>
          <w:sz w:val="24"/>
        </w:rPr>
        <w:t>i</w:t>
      </w:r>
      <w:r w:rsidR="007E31A8">
        <w:rPr>
          <w:rFonts w:ascii="Arial" w:hAnsi="Arial" w:cs="Arial"/>
          <w:sz w:val="24"/>
        </w:rPr>
        <w:t xml:space="preserve"> za zdravý život</w:t>
      </w:r>
      <w:r w:rsidR="00021F9F">
        <w:rPr>
          <w:rFonts w:ascii="Arial" w:hAnsi="Arial" w:cs="Arial"/>
          <w:sz w:val="24"/>
        </w:rPr>
        <w:t>ní styl</w:t>
      </w:r>
      <w:r w:rsidR="00BB33CB">
        <w:rPr>
          <w:rFonts w:ascii="Arial" w:hAnsi="Arial" w:cs="Arial"/>
          <w:sz w:val="24"/>
        </w:rPr>
        <w:t xml:space="preserve"> nebo mají nárok na slevy v případě určité minimální výše pojistné částky či v případě </w:t>
      </w:r>
      <w:proofErr w:type="spellStart"/>
      <w:r w:rsidR="00BB33CB">
        <w:rPr>
          <w:rFonts w:ascii="Arial" w:hAnsi="Arial" w:cs="Arial"/>
          <w:sz w:val="24"/>
        </w:rPr>
        <w:t>bezeškodního</w:t>
      </w:r>
      <w:proofErr w:type="spellEnd"/>
      <w:r w:rsidR="00BB33CB">
        <w:rPr>
          <w:rFonts w:ascii="Arial" w:hAnsi="Arial" w:cs="Arial"/>
          <w:sz w:val="24"/>
        </w:rPr>
        <w:t xml:space="preserve"> průběhu. Krom toho</w:t>
      </w:r>
      <w:r w:rsidR="00304490">
        <w:rPr>
          <w:rFonts w:ascii="Arial" w:hAnsi="Arial" w:cs="Arial"/>
          <w:sz w:val="24"/>
        </w:rPr>
        <w:t xml:space="preserve"> tento produkt </w:t>
      </w:r>
      <w:r w:rsidR="00BB33CB">
        <w:rPr>
          <w:rFonts w:ascii="Arial" w:hAnsi="Arial" w:cs="Arial"/>
          <w:sz w:val="24"/>
        </w:rPr>
        <w:t>nabízí i širokou škálu možných připojištění, nejkratší čekací dobu na trhu či pojistné plnění pro děti ve dvojnásobné výši v případě prázdninového úrazu.</w:t>
      </w:r>
    </w:p>
    <w:p w14:paraId="2A6E347F" w14:textId="6374A3E1" w:rsidR="007E31A8" w:rsidRDefault="001F00FA" w:rsidP="00E046E9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rámci P</w:t>
      </w:r>
      <w:r w:rsidR="007E31A8">
        <w:rPr>
          <w:rFonts w:ascii="Arial" w:hAnsi="Arial" w:cs="Arial"/>
          <w:sz w:val="24"/>
        </w:rPr>
        <w:t xml:space="preserve">ojištění schopnosti splácet </w:t>
      </w:r>
      <w:r w:rsidR="00954AF7">
        <w:rPr>
          <w:rFonts w:ascii="Arial" w:hAnsi="Arial" w:cs="Arial"/>
          <w:sz w:val="24"/>
        </w:rPr>
        <w:t>určeného</w:t>
      </w:r>
      <w:bookmarkStart w:id="0" w:name="_GoBack"/>
      <w:bookmarkEnd w:id="0"/>
      <w:r w:rsidR="00C50729">
        <w:rPr>
          <w:rFonts w:ascii="Arial" w:hAnsi="Arial" w:cs="Arial"/>
          <w:sz w:val="24"/>
        </w:rPr>
        <w:t xml:space="preserve"> exkluzivně pro klienty </w:t>
      </w:r>
      <w:proofErr w:type="spellStart"/>
      <w:r w:rsidR="00C50729">
        <w:rPr>
          <w:rFonts w:ascii="Arial" w:hAnsi="Arial" w:cs="Arial"/>
          <w:sz w:val="24"/>
        </w:rPr>
        <w:t>Equa</w:t>
      </w:r>
      <w:proofErr w:type="spellEnd"/>
      <w:r w:rsidR="00C50729">
        <w:rPr>
          <w:rFonts w:ascii="Arial" w:hAnsi="Arial" w:cs="Arial"/>
          <w:sz w:val="24"/>
        </w:rPr>
        <w:t xml:space="preserve"> bank se nabízí </w:t>
      </w:r>
      <w:r w:rsidR="007E31A8">
        <w:rPr>
          <w:rFonts w:ascii="Arial" w:hAnsi="Arial" w:cs="Arial"/>
          <w:sz w:val="24"/>
        </w:rPr>
        <w:t xml:space="preserve">výběr ze tří různých balíčků. V jejich rámci </w:t>
      </w:r>
      <w:r w:rsidR="00C50729">
        <w:rPr>
          <w:rFonts w:ascii="Arial" w:hAnsi="Arial" w:cs="Arial"/>
          <w:sz w:val="24"/>
        </w:rPr>
        <w:t>je možné</w:t>
      </w:r>
      <w:r w:rsidR="007E31A8">
        <w:rPr>
          <w:rFonts w:ascii="Arial" w:hAnsi="Arial" w:cs="Arial"/>
          <w:sz w:val="24"/>
        </w:rPr>
        <w:t xml:space="preserve"> mimo jiné sjednat pojištění pro případ závažných onemocnění. V případě úmrtí či invalidity 3. stupně pojištěného vyplatí pojišťovna </w:t>
      </w:r>
      <w:r w:rsidR="00021F9F">
        <w:rPr>
          <w:rFonts w:ascii="Arial" w:hAnsi="Arial" w:cs="Arial"/>
          <w:sz w:val="24"/>
        </w:rPr>
        <w:t xml:space="preserve">částku </w:t>
      </w:r>
      <w:r w:rsidR="007E31A8">
        <w:rPr>
          <w:rFonts w:ascii="Arial" w:hAnsi="Arial" w:cs="Arial"/>
          <w:sz w:val="24"/>
        </w:rPr>
        <w:t>ve výši 150 % nesplaceného úvěru, v případě úmrtí při dopravní nehodě dokonce ve výši 200 %. V případě pracovní neschopnosti je vypláceno pojistné plnění ve výši 100% měsíční splátky úvěru, od 4. měsíce jejího trvání pak ve výši 150% měsíční splátky úvěru.</w:t>
      </w:r>
    </w:p>
    <w:p w14:paraId="0A2CCEAF" w14:textId="73FB1725" w:rsidR="00B410CC" w:rsidRDefault="00BC743D" w:rsidP="00E046E9">
      <w:pPr>
        <w:jc w:val="both"/>
        <w:rPr>
          <w:rFonts w:ascii="Arial" w:hAnsi="Arial" w:cs="Arial"/>
          <w:sz w:val="24"/>
        </w:rPr>
      </w:pPr>
      <w:r w:rsidRPr="00BC743D">
        <w:rPr>
          <w:rFonts w:ascii="Arial" w:hAnsi="Arial" w:cs="Arial"/>
          <w:sz w:val="24"/>
        </w:rPr>
        <w:t xml:space="preserve">Každoroční hodnocení „Finparáda.cz – Finanční produkt roku“ vychází z průběžných výsledků online žebříčků nejlepších finančních produktů, které tvoří obsah portálu Finparáda.cz. Žebříčky nejlepších finančních produktů sestavují a pravidelně aktualizují specialisté společnosti </w:t>
      </w:r>
      <w:proofErr w:type="spellStart"/>
      <w:r w:rsidRPr="00BC743D">
        <w:rPr>
          <w:rFonts w:ascii="Arial" w:hAnsi="Arial" w:cs="Arial"/>
          <w:sz w:val="24"/>
        </w:rPr>
        <w:t>Scott</w:t>
      </w:r>
      <w:proofErr w:type="spellEnd"/>
      <w:r w:rsidRPr="00BC743D">
        <w:rPr>
          <w:rFonts w:ascii="Arial" w:hAnsi="Arial" w:cs="Arial"/>
          <w:sz w:val="24"/>
        </w:rPr>
        <w:t xml:space="preserve"> &amp; Rose na základě každodenního zpracování, srovnávání a analyzování mnoha dat a informací z </w:t>
      </w:r>
      <w:r w:rsidRPr="00BC743D">
        <w:rPr>
          <w:rFonts w:ascii="Arial" w:hAnsi="Arial" w:cs="Arial"/>
          <w:sz w:val="24"/>
        </w:rPr>
        <w:lastRenderedPageBreak/>
        <w:t>oblasti finančního trhu.</w:t>
      </w:r>
      <w:r w:rsidR="009D4CDD">
        <w:rPr>
          <w:rFonts w:ascii="Arial" w:hAnsi="Arial" w:cs="Arial"/>
          <w:sz w:val="24"/>
        </w:rPr>
        <w:t xml:space="preserve"> V letošním roce přibylo do ankety několik nových kategorií, některé byly naopak zrušeny.</w:t>
      </w:r>
    </w:p>
    <w:p w14:paraId="7BA5D5DD" w14:textId="7B1160F4" w:rsidR="00351D9F" w:rsidRDefault="00351D9F" w:rsidP="009D4CDD">
      <w:pPr>
        <w:spacing w:after="0" w:line="240" w:lineRule="auto"/>
        <w:rPr>
          <w:rFonts w:ascii="Arial" w:hAnsi="Arial" w:cs="Arial"/>
          <w:sz w:val="24"/>
        </w:rPr>
      </w:pPr>
    </w:p>
    <w:p w14:paraId="64C1702B" w14:textId="77777777" w:rsidR="009D4CDD" w:rsidRDefault="009D4CDD" w:rsidP="009D4CDD">
      <w:pPr>
        <w:spacing w:after="0" w:line="240" w:lineRule="auto"/>
        <w:rPr>
          <w:rFonts w:ascii="Arial" w:hAnsi="Arial" w:cs="Arial"/>
          <w:sz w:val="24"/>
        </w:rPr>
      </w:pPr>
    </w:p>
    <w:p w14:paraId="4F0331ED" w14:textId="77777777" w:rsidR="009D4CDD" w:rsidRDefault="009D4CDD" w:rsidP="009D4CDD">
      <w:pPr>
        <w:spacing w:after="0" w:line="240" w:lineRule="auto"/>
        <w:rPr>
          <w:rFonts w:ascii="Arial" w:hAnsi="Arial" w:cs="Arial"/>
          <w:sz w:val="24"/>
        </w:rPr>
      </w:pPr>
    </w:p>
    <w:p w14:paraId="489F24DE" w14:textId="77777777" w:rsidR="009D4CDD" w:rsidRPr="009D4CDD" w:rsidRDefault="009D4CDD" w:rsidP="009D4CDD">
      <w:pPr>
        <w:spacing w:after="0" w:line="240" w:lineRule="auto"/>
        <w:rPr>
          <w:rFonts w:ascii="Arial" w:hAnsi="Arial" w:cs="Arial"/>
          <w:sz w:val="24"/>
        </w:rPr>
      </w:pPr>
    </w:p>
    <w:p w14:paraId="3B46FB7B" w14:textId="2EBF4AD0" w:rsidR="0016010D" w:rsidRPr="00FE136A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Pro více informací kontaktujte:</w:t>
      </w:r>
    </w:p>
    <w:p w14:paraId="3B46FB7C" w14:textId="2643F1E2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Marcela Štefcová</w:t>
      </w:r>
    </w:p>
    <w:p w14:paraId="3B46FB7D" w14:textId="5EB885AF" w:rsidR="0016010D" w:rsidRPr="00FE136A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FE136A">
        <w:rPr>
          <w:rFonts w:ascii="Arial" w:hAnsi="Arial" w:cs="Arial"/>
          <w:b/>
          <w:bCs/>
          <w:sz w:val="20"/>
        </w:rPr>
        <w:t>Crest</w:t>
      </w:r>
      <w:proofErr w:type="spellEnd"/>
      <w:r w:rsidRPr="00FE136A">
        <w:rPr>
          <w:rFonts w:ascii="Arial" w:hAnsi="Arial" w:cs="Arial"/>
          <w:b/>
          <w:bCs/>
          <w:sz w:val="20"/>
        </w:rPr>
        <w:t xml:space="preserve"> Communications, a.s.</w:t>
      </w:r>
    </w:p>
    <w:p w14:paraId="3B46FB7E" w14:textId="0052BFAB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Ostrovní 126/30</w:t>
      </w:r>
    </w:p>
    <w:p w14:paraId="3B46FB7F" w14:textId="1A219FAD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FE136A">
        <w:rPr>
          <w:rFonts w:ascii="Arial" w:hAnsi="Arial" w:cs="Arial"/>
          <w:sz w:val="20"/>
        </w:rPr>
        <w:t>110 00 Praha 1</w:t>
      </w:r>
    </w:p>
    <w:p w14:paraId="3B46FB80" w14:textId="6037ED4F" w:rsidR="0016010D" w:rsidRPr="00FE136A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FE136A">
        <w:rPr>
          <w:rFonts w:ascii="Arial" w:hAnsi="Arial" w:cs="Arial"/>
          <w:sz w:val="20"/>
        </w:rPr>
        <w:t>gsm</w:t>
      </w:r>
      <w:proofErr w:type="spellEnd"/>
      <w:r w:rsidRPr="00FE136A">
        <w:rPr>
          <w:rFonts w:ascii="Arial" w:hAnsi="Arial" w:cs="Arial"/>
          <w:sz w:val="20"/>
        </w:rPr>
        <w:t>: + 420 731 613 669</w:t>
      </w:r>
    </w:p>
    <w:p w14:paraId="3B46FB81" w14:textId="3254D6FC" w:rsidR="0016010D" w:rsidRPr="00FE136A" w:rsidRDefault="00954AF7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FE136A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14:paraId="3B46FB82" w14:textId="62B662FA" w:rsidR="0016010D" w:rsidRPr="00FE136A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FE136A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FE136A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14:paraId="3B46FB85" w14:textId="77777777" w:rsidR="0016010D" w:rsidRPr="00FE136A" w:rsidRDefault="0016010D" w:rsidP="0016010D">
      <w:pPr>
        <w:rPr>
          <w:rFonts w:ascii="Arial" w:hAnsi="Arial" w:cs="Arial"/>
          <w:sz w:val="20"/>
        </w:rPr>
      </w:pPr>
    </w:p>
    <w:p w14:paraId="3B46FB86" w14:textId="77777777" w:rsidR="0016010D" w:rsidRPr="00FE136A" w:rsidRDefault="0016010D" w:rsidP="0016010D">
      <w:pPr>
        <w:rPr>
          <w:rFonts w:ascii="Arial" w:hAnsi="Arial" w:cs="Arial"/>
          <w:b/>
          <w:sz w:val="20"/>
          <w:u w:val="single"/>
        </w:rPr>
      </w:pPr>
      <w:r w:rsidRPr="00FE136A">
        <w:rPr>
          <w:rFonts w:ascii="Arial" w:hAnsi="Arial" w:cs="Arial"/>
          <w:b/>
          <w:sz w:val="20"/>
          <w:u w:val="single"/>
        </w:rPr>
        <w:t>Informace pro editory</w:t>
      </w:r>
    </w:p>
    <w:p w14:paraId="3B46FB87" w14:textId="77777777" w:rsidR="0016010D" w:rsidRPr="00FE136A" w:rsidRDefault="0016010D" w:rsidP="0016010D">
      <w:pPr>
        <w:jc w:val="both"/>
        <w:rPr>
          <w:sz w:val="18"/>
        </w:rPr>
      </w:pPr>
      <w:r w:rsidRPr="00FE136A">
        <w:rPr>
          <w:rFonts w:ascii="Arial" w:hAnsi="Arial" w:cs="Arial"/>
          <w:sz w:val="20"/>
        </w:rPr>
        <w:t xml:space="preserve">Pojišťovna </w:t>
      </w:r>
      <w:proofErr w:type="spellStart"/>
      <w:r>
        <w:rPr>
          <w:rFonts w:ascii="Arial" w:hAnsi="Arial" w:cs="Arial"/>
          <w:sz w:val="20"/>
        </w:rPr>
        <w:t>MetLife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 w:rsidRPr="00A91FA3">
        <w:rPr>
          <w:rFonts w:ascii="Arial" w:hAnsi="Arial" w:cs="Arial"/>
          <w:sz w:val="20"/>
        </w:rPr>
        <w:t>MetLife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91FA3">
        <w:rPr>
          <w:rFonts w:ascii="Arial" w:hAnsi="Arial" w:cs="Arial"/>
          <w:sz w:val="20"/>
        </w:rPr>
        <w:t>Europe</w:t>
      </w:r>
      <w:proofErr w:type="spellEnd"/>
      <w:r w:rsidRPr="00A91FA3">
        <w:rPr>
          <w:rFonts w:ascii="Arial" w:hAnsi="Arial" w:cs="Arial"/>
          <w:sz w:val="20"/>
        </w:rPr>
        <w:t xml:space="preserve"> </w:t>
      </w:r>
      <w:proofErr w:type="spellStart"/>
      <w:r w:rsidRPr="00A91FA3">
        <w:rPr>
          <w:rFonts w:ascii="Arial" w:hAnsi="Arial" w:cs="Arial"/>
          <w:sz w:val="20"/>
        </w:rPr>
        <w:t>d.a.</w:t>
      </w:r>
      <w:proofErr w:type="gramEnd"/>
      <w:r w:rsidRPr="00A91FA3">
        <w:rPr>
          <w:rFonts w:ascii="Arial" w:hAnsi="Arial" w:cs="Arial"/>
          <w:sz w:val="20"/>
        </w:rPr>
        <w:t>c</w:t>
      </w:r>
      <w:proofErr w:type="spellEnd"/>
      <w:r w:rsidRPr="00A91FA3">
        <w:rPr>
          <w:rFonts w:ascii="Arial" w:hAnsi="Arial" w:cs="Arial"/>
          <w:sz w:val="20"/>
        </w:rPr>
        <w:t>.</w:t>
      </w:r>
      <w:r w:rsidRPr="00FB6C71">
        <w:rPr>
          <w:rFonts w:ascii="Arial" w:hAnsi="Arial" w:cs="Arial"/>
          <w:sz w:val="20"/>
        </w:rPr>
        <w:t xml:space="preserve">) </w:t>
      </w:r>
      <w:r w:rsidRPr="00FE136A">
        <w:rPr>
          <w:rFonts w:ascii="Arial" w:hAnsi="Arial" w:cs="Arial"/>
          <w:sz w:val="20"/>
        </w:rPr>
        <w:t xml:space="preserve">nabízí své služby v České republice od roku 1992. Dlouhodobě </w:t>
      </w:r>
      <w:r>
        <w:rPr>
          <w:rFonts w:ascii="Arial" w:hAnsi="Arial" w:cs="Arial"/>
          <w:sz w:val="20"/>
        </w:rPr>
        <w:t xml:space="preserve">se umisťuje </w:t>
      </w:r>
      <w:r w:rsidRPr="00FE136A">
        <w:rPr>
          <w:rFonts w:ascii="Arial" w:hAnsi="Arial" w:cs="Arial"/>
          <w:sz w:val="20"/>
        </w:rPr>
        <w:t xml:space="preserve">v žebříčku </w:t>
      </w:r>
      <w:r>
        <w:rPr>
          <w:rFonts w:ascii="Arial" w:hAnsi="Arial" w:cs="Arial"/>
          <w:sz w:val="20"/>
        </w:rPr>
        <w:t xml:space="preserve">top </w:t>
      </w:r>
      <w:r w:rsidRPr="00FE136A">
        <w:rPr>
          <w:rFonts w:ascii="Arial" w:hAnsi="Arial" w:cs="Arial"/>
          <w:sz w:val="20"/>
        </w:rPr>
        <w:t xml:space="preserve">deseti nejvyužívanějších pojišťoven v oblasti životního pojištění. </w:t>
      </w:r>
      <w:proofErr w:type="spellStart"/>
      <w:r w:rsidRPr="002D1EEA">
        <w:rPr>
          <w:rFonts w:ascii="Arial" w:hAnsi="Arial" w:cs="Arial"/>
          <w:sz w:val="20"/>
        </w:rPr>
        <w:t>MetLife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1EEA">
        <w:rPr>
          <w:rFonts w:ascii="Arial" w:hAnsi="Arial" w:cs="Arial"/>
          <w:sz w:val="20"/>
        </w:rPr>
        <w:t>Europe</w:t>
      </w:r>
      <w:proofErr w:type="spellEnd"/>
      <w:r w:rsidRPr="002D1EEA">
        <w:rPr>
          <w:rFonts w:ascii="Arial" w:hAnsi="Arial" w:cs="Arial"/>
          <w:sz w:val="20"/>
        </w:rPr>
        <w:t xml:space="preserve"> </w:t>
      </w:r>
      <w:proofErr w:type="spellStart"/>
      <w:r w:rsidRPr="002D1EEA">
        <w:rPr>
          <w:rFonts w:ascii="Arial" w:hAnsi="Arial" w:cs="Arial"/>
          <w:sz w:val="20"/>
        </w:rPr>
        <w:t>d.a.</w:t>
      </w:r>
      <w:proofErr w:type="gramEnd"/>
      <w:r w:rsidRPr="002D1EEA">
        <w:rPr>
          <w:rFonts w:ascii="Arial" w:hAnsi="Arial" w:cs="Arial"/>
          <w:sz w:val="20"/>
        </w:rPr>
        <w:t>c</w:t>
      </w:r>
      <w:proofErr w:type="spellEnd"/>
      <w:r w:rsidRPr="002D1EEA">
        <w:rPr>
          <w:rFonts w:ascii="Arial" w:hAnsi="Arial" w:cs="Arial"/>
          <w:sz w:val="20"/>
        </w:rPr>
        <w:t>. je dceřinou společností MetLife, Inc.</w:t>
      </w:r>
      <w:r>
        <w:rPr>
          <w:rFonts w:ascii="Arial" w:hAnsi="Arial" w:cs="Arial"/>
          <w:sz w:val="20"/>
        </w:rPr>
        <w:t xml:space="preserve">, která </w:t>
      </w:r>
      <w:r w:rsidRPr="00FE136A">
        <w:rPr>
          <w:rFonts w:ascii="Arial" w:hAnsi="Arial" w:cs="Arial"/>
          <w:sz w:val="20"/>
        </w:rPr>
        <w:t xml:space="preserve">vznikla </w:t>
      </w:r>
      <w:r>
        <w:rPr>
          <w:rFonts w:ascii="Arial" w:hAnsi="Arial" w:cs="Arial"/>
          <w:sz w:val="20"/>
        </w:rPr>
        <w:t>již v</w:t>
      </w:r>
      <w:r w:rsidRPr="00FE136A">
        <w:rPr>
          <w:rFonts w:ascii="Arial" w:hAnsi="Arial" w:cs="Arial"/>
          <w:sz w:val="20"/>
        </w:rPr>
        <w:t> roce 1868 a v současnosti spravuje pojistky 1</w:t>
      </w:r>
      <w:r w:rsidR="00697F54">
        <w:rPr>
          <w:rFonts w:ascii="Arial" w:hAnsi="Arial" w:cs="Arial"/>
          <w:sz w:val="20"/>
        </w:rPr>
        <w:t>00 milionů klientů ve více než 4</w:t>
      </w:r>
      <w:r w:rsidRPr="00FE136A">
        <w:rPr>
          <w:rFonts w:ascii="Arial" w:hAnsi="Arial" w:cs="Arial"/>
          <w:sz w:val="20"/>
        </w:rPr>
        <w:t xml:space="preserve">0 zemích světa. Široká produktová nabídka zahrnuje </w:t>
      </w:r>
      <w:r w:rsidRPr="00A91FA3">
        <w:rPr>
          <w:rFonts w:ascii="Arial" w:hAnsi="Arial" w:cs="Arial"/>
          <w:sz w:val="20"/>
        </w:rPr>
        <w:t>zejména investiční</w:t>
      </w:r>
      <w:r w:rsidRPr="00FE136A">
        <w:rPr>
          <w:rFonts w:ascii="Arial" w:hAnsi="Arial" w:cs="Arial"/>
          <w:sz w:val="20"/>
        </w:rPr>
        <w:t xml:space="preserve"> životní pojištění, úrazové pojištění</w:t>
      </w:r>
      <w:r>
        <w:rPr>
          <w:rFonts w:ascii="Arial" w:hAnsi="Arial" w:cs="Arial"/>
          <w:sz w:val="20"/>
        </w:rPr>
        <w:t xml:space="preserve">, </w:t>
      </w:r>
      <w:r w:rsidRPr="00FE136A">
        <w:rPr>
          <w:rFonts w:ascii="Arial" w:hAnsi="Arial" w:cs="Arial"/>
          <w:sz w:val="20"/>
        </w:rPr>
        <w:t>speciální druhy pojištění pro ženy nebo děti</w:t>
      </w:r>
      <w:r>
        <w:rPr>
          <w:rFonts w:ascii="Arial" w:hAnsi="Arial" w:cs="Arial"/>
          <w:sz w:val="20"/>
        </w:rPr>
        <w:t xml:space="preserve"> či zaměstnanecké benefity</w:t>
      </w:r>
      <w:r w:rsidRPr="00FE136A">
        <w:rPr>
          <w:rFonts w:ascii="Arial" w:hAnsi="Arial" w:cs="Arial"/>
          <w:sz w:val="20"/>
        </w:rPr>
        <w:t>.</w:t>
      </w:r>
    </w:p>
    <w:p w14:paraId="3B46FB88" w14:textId="77777777"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0613A"/>
    <w:rsid w:val="00021035"/>
    <w:rsid w:val="00021F9F"/>
    <w:rsid w:val="00062CF1"/>
    <w:rsid w:val="0016010D"/>
    <w:rsid w:val="001A660A"/>
    <w:rsid w:val="001B6594"/>
    <w:rsid w:val="001B76F1"/>
    <w:rsid w:val="001D62BB"/>
    <w:rsid w:val="001D7494"/>
    <w:rsid w:val="001F00FA"/>
    <w:rsid w:val="00231BB7"/>
    <w:rsid w:val="002538FC"/>
    <w:rsid w:val="00276153"/>
    <w:rsid w:val="00304490"/>
    <w:rsid w:val="00314613"/>
    <w:rsid w:val="00351D9F"/>
    <w:rsid w:val="003A7771"/>
    <w:rsid w:val="004207D7"/>
    <w:rsid w:val="004A131C"/>
    <w:rsid w:val="004A7AD9"/>
    <w:rsid w:val="00551996"/>
    <w:rsid w:val="00551F49"/>
    <w:rsid w:val="005B0D0E"/>
    <w:rsid w:val="005C7833"/>
    <w:rsid w:val="005E7B02"/>
    <w:rsid w:val="006339BA"/>
    <w:rsid w:val="006743ED"/>
    <w:rsid w:val="00697F54"/>
    <w:rsid w:val="006A59AB"/>
    <w:rsid w:val="006D3C40"/>
    <w:rsid w:val="00780695"/>
    <w:rsid w:val="007B6502"/>
    <w:rsid w:val="007E31A8"/>
    <w:rsid w:val="008150B4"/>
    <w:rsid w:val="00816F07"/>
    <w:rsid w:val="008A444C"/>
    <w:rsid w:val="008B479E"/>
    <w:rsid w:val="008E2202"/>
    <w:rsid w:val="00954AF7"/>
    <w:rsid w:val="00970DD1"/>
    <w:rsid w:val="009D4CDD"/>
    <w:rsid w:val="00B1056C"/>
    <w:rsid w:val="00B410CC"/>
    <w:rsid w:val="00BB33CB"/>
    <w:rsid w:val="00BC49EC"/>
    <w:rsid w:val="00BC743D"/>
    <w:rsid w:val="00C13CC8"/>
    <w:rsid w:val="00C32CD2"/>
    <w:rsid w:val="00C50729"/>
    <w:rsid w:val="00D46E67"/>
    <w:rsid w:val="00D66EAE"/>
    <w:rsid w:val="00E046E9"/>
    <w:rsid w:val="00E610EB"/>
    <w:rsid w:val="00F61756"/>
    <w:rsid w:val="00FC1065"/>
    <w:rsid w:val="00FE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FB6E"/>
  <w15:docId w15:val="{041DDB79-F338-484C-89FA-01AAD8012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C78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78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783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78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7833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7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C783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B130B-6807-4937-B6C6-AC1735E2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486</Words>
  <Characters>2872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Kratochvilova, Lucie</dc:creator>
  <cp:lastModifiedBy>Markéta Damková</cp:lastModifiedBy>
  <cp:revision>6</cp:revision>
  <dcterms:created xsi:type="dcterms:W3CDTF">2020-02-03T11:17:00Z</dcterms:created>
  <dcterms:modified xsi:type="dcterms:W3CDTF">2020-02-13T08:56:00Z</dcterms:modified>
</cp:coreProperties>
</file>